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795C" w14:textId="77777777" w:rsidR="00AB50CE" w:rsidRDefault="00000000">
      <w:pPr>
        <w:pStyle w:val="Titre"/>
        <w:spacing w:before="240" w:after="120"/>
        <w:rPr>
          <w:lang w:val="fr-CH"/>
        </w:rPr>
      </w:pPr>
      <w:r>
        <w:rPr>
          <w:lang w:val="fr-CH"/>
        </w:rPr>
        <w:t>Titre, sous-titre</w:t>
      </w:r>
    </w:p>
    <w:p w14:paraId="30AE7D23" w14:textId="77777777" w:rsidR="00AB50CE" w:rsidRDefault="00000000">
      <w:pPr>
        <w:pStyle w:val="Address"/>
        <w:rPr>
          <w:lang w:val="fr-CH"/>
        </w:rPr>
      </w:pPr>
      <w:r>
        <w:rPr>
          <w:lang w:val="fr-CH"/>
        </w:rPr>
        <w:t>Nom</w:t>
      </w:r>
    </w:p>
    <w:p w14:paraId="310382D4" w14:textId="77777777" w:rsidR="00AB50CE" w:rsidRDefault="00000000">
      <w:pPr>
        <w:pStyle w:val="Address"/>
        <w:rPr>
          <w:lang w:val="fr-CH"/>
        </w:rPr>
      </w:pPr>
      <w:r>
        <w:rPr>
          <w:lang w:val="fr-CH"/>
        </w:rPr>
        <w:t>Adresse, email</w:t>
      </w:r>
    </w:p>
    <w:p w14:paraId="6EBED40F" w14:textId="77777777" w:rsidR="00AB50CE" w:rsidRDefault="00000000">
      <w:pPr>
        <w:pStyle w:val="AbstractTitle"/>
        <w:rPr>
          <w:lang w:val="fr-FR"/>
        </w:rPr>
      </w:pPr>
      <w:r>
        <w:rPr>
          <w:lang w:val="fr-FR"/>
        </w:rPr>
        <w:t>Résumé</w:t>
      </w:r>
    </w:p>
    <w:p w14:paraId="29DA2382" w14:textId="77777777" w:rsidR="00AB50CE" w:rsidRDefault="00000000">
      <w:pPr>
        <w:pStyle w:val="Abstract"/>
        <w:rPr>
          <w:lang w:val="fr-FR"/>
        </w:rPr>
      </w:pPr>
      <w:r>
        <w:rPr>
          <w:lang w:val="fr-FR"/>
        </w:rPr>
        <w:t xml:space="preserve">Les plus récentes études sur la tectonique de la région jurassienne française ont montré qu’elle est constituée par une alternance de zones plissées et de zones tranquilles (plateaux), séparées les unes des autres par des failles donnant naissance à une série de gradins qui s’abaissent progressivement de l’Est à l’Ouest. Les divers étages du Jurassique et de l’Infra-crétacé forment la presque totalité des éléments constituants cette chaîne. Or, dans cet ensemble, le Bajocien, le Bathonien, le Rauracien, l’Astartien et le Portlandien, sont essentiellement constitués par de puissantes assises calcaires, éminemment propres à la formation des abîmes et des cavernes. L’article ci-joint rapporte une étude déjà parue de cette vie géologique trépidante. </w:t>
      </w:r>
    </w:p>
    <w:p w14:paraId="309106F9" w14:textId="77777777" w:rsidR="00AB50CE" w:rsidRDefault="00000000">
      <w:pPr>
        <w:pStyle w:val="AbstractTitle"/>
      </w:pPr>
      <w:r>
        <w:t>Zusammenfassung</w:t>
      </w:r>
    </w:p>
    <w:p w14:paraId="46C542A4" w14:textId="77777777" w:rsidR="00AB50CE" w:rsidRDefault="00000000">
      <w:pPr>
        <w:pStyle w:val="Abstract"/>
      </w:pPr>
      <w:r>
        <w:t>Die neuesten Studien zur Tektonik der französischen Juraregion haben gezeigt, dass sie aus einer Abfolge von gefalteten Gebieten und ruhigen Gebieten (Hochebenen) besteht, die durch Verwerfungen voneinander getrennt sind und eine Reihe von Terrassen bilden, die sich von Ost nach West allmählich absenken. Die verschiedenen Schichten des Jura und der Infra-Kreide bilden fast alle Bestandteile dieser Kette. In diesem Komplex bestehen das Bajocien, das Bathonien, das Rauracien, das Astartien und das Portlandien im Wesentlichen aus mächtigen Kalksteinschichten, die sich hervorragend für die Bildung von Abgründen und Höhlen eignen. Der beigefügte Artikel berichtet über eine bereits veröffentlichte Studie zu diesem bewegten geologischen Leben.</w:t>
      </w:r>
    </w:p>
    <w:p w14:paraId="189A72A9" w14:textId="77777777" w:rsidR="00AB50CE" w:rsidRDefault="00000000">
      <w:pPr>
        <w:pStyle w:val="AbstractTitle"/>
        <w:rPr>
          <w:lang w:val="en-US"/>
        </w:rPr>
      </w:pPr>
      <w:r>
        <w:rPr>
          <w:lang w:val="en-US"/>
        </w:rPr>
        <w:t>Summary</w:t>
      </w:r>
    </w:p>
    <w:p w14:paraId="782D7224" w14:textId="77777777" w:rsidR="00AB50CE" w:rsidRDefault="00000000">
      <w:pPr>
        <w:pStyle w:val="Abstract"/>
        <w:rPr>
          <w:lang w:val="en-GB"/>
        </w:rPr>
      </w:pPr>
      <w:r>
        <w:rPr>
          <w:lang w:val="en-US"/>
        </w:rPr>
        <w:t>The most recent studies on the tectonics of the French Jura region have shown that it consists of alternating folded zones and quiet zones (plateaus), separated from each other by faults, giving rise to a series of terraces that gradually descend from east to west. The various Jurassic and Infra-Cretaceous strata form almost all of the elements that make up this chain. Within this group, the Bajocian, Bathonian, Rauracian, Astartian and Portlandian are essentially composed of thick limestone beds, which are eminently suitable for the formation of chasms and caves. The attached article reports on a previously published study of this exciting geological history.</w:t>
      </w:r>
    </w:p>
    <w:p w14:paraId="0280CA7D" w14:textId="77777777" w:rsidR="00AB50CE" w:rsidRDefault="00000000">
      <w:pPr>
        <w:pStyle w:val="Titre1"/>
        <w:rPr>
          <w:lang w:val="fr-FR"/>
        </w:rPr>
      </w:pPr>
      <w:r>
        <w:rPr>
          <w:lang w:val="fr-FR"/>
        </w:rPr>
        <w:t>Introduction</w:t>
      </w:r>
    </w:p>
    <w:p w14:paraId="21E4D72F" w14:textId="77777777" w:rsidR="00AB50CE" w:rsidRDefault="00000000">
      <w:pPr>
        <w:suppressAutoHyphens w:val="0"/>
        <w:rPr>
          <w:lang w:val="fr-FR"/>
        </w:rPr>
      </w:pPr>
      <w:r>
        <w:rPr>
          <w:rFonts w:eastAsia="Songti SC"/>
          <w:color w:val="000000"/>
          <w:lang w:val="fr-FR" w:bidi="ar-SA"/>
        </w:rPr>
        <w:t>Qualifié d’entité géomorphologique selon certains auteurs (</w:t>
      </w:r>
      <w:r>
        <w:rPr>
          <w:rFonts w:eastAsia="Songti SC"/>
          <w:lang w:val="fr-FR" w:bidi="ar-SA"/>
        </w:rPr>
        <w:t>Taver, 2014 ; Cholet, 2017</w:t>
      </w:r>
      <w:r>
        <w:rPr>
          <w:rFonts w:eastAsia="Songti SC"/>
          <w:color w:val="000000"/>
          <w:lang w:val="fr-FR" w:bidi="ar-SA"/>
        </w:rPr>
        <w:t>), de joyau géologique par d’autres (</w:t>
      </w:r>
      <w:r>
        <w:rPr>
          <w:rFonts w:eastAsia="Songti SC"/>
          <w:lang w:val="fr-FR" w:bidi="ar-SA"/>
        </w:rPr>
        <w:t>Chauve et Mudry, 2024</w:t>
      </w:r>
      <w:r>
        <w:rPr>
          <w:rFonts w:eastAsia="Songti SC"/>
          <w:color w:val="000000"/>
          <w:lang w:val="fr-FR" w:bidi="ar-SA"/>
        </w:rPr>
        <w:t>), ou encore d’objet hydrogéologique complexe au comportement unique (</w:t>
      </w:r>
      <w:r>
        <w:rPr>
          <w:rFonts w:eastAsia="Songti SC"/>
          <w:lang w:val="fr-FR" w:bidi="ar-SA"/>
        </w:rPr>
        <w:t>Goldscheider et Drew., 2007 ; Hartmann et al. 2014</w:t>
      </w:r>
      <w:r>
        <w:rPr>
          <w:rFonts w:eastAsia="Songti SC"/>
          <w:color w:val="000000"/>
          <w:lang w:val="fr-FR" w:bidi="ar-SA"/>
        </w:rPr>
        <w:t>), le karst est au centre de l’attention de nombreux géologues et hydrogéologues tant pour le défi scientifique que constitue son étude, que pour son importance en tant que ressource en eau potable, alimentant 25% de la population mondiale (</w:t>
      </w:r>
      <w:r>
        <w:rPr>
          <w:rFonts w:eastAsia="Songti SC"/>
          <w:lang w:val="fr-FR" w:bidi="ar-SA"/>
        </w:rPr>
        <w:t>Ford and Williams, 2007</w:t>
      </w:r>
      <w:r>
        <w:rPr>
          <w:rFonts w:eastAsia="Songti SC"/>
          <w:color w:val="000000"/>
          <w:lang w:val="fr-FR" w:bidi="ar-SA"/>
        </w:rPr>
        <w:t>).</w:t>
      </w:r>
    </w:p>
    <w:p w14:paraId="631FDB46" w14:textId="77777777" w:rsidR="00AB50CE" w:rsidRDefault="00AB50CE">
      <w:pPr>
        <w:rPr>
          <w:lang w:val="fr-FR"/>
        </w:rPr>
      </w:pPr>
    </w:p>
    <w:p w14:paraId="582BFBEC" w14:textId="77777777" w:rsidR="00AB50CE" w:rsidRDefault="00000000">
      <w:pPr>
        <w:rPr>
          <w:lang w:val="fr-FR"/>
        </w:rPr>
      </w:pPr>
      <w:r>
        <w:rPr>
          <w:lang w:val="fr-FR"/>
        </w:rPr>
        <w:t xml:space="preserve">Le Groupement pour l’Inventaire, la Protection et l’Etude du Karst (GIPEK) en représente la commission scientifique et ne peut que s’enorgueillir d’avoir réalisé un travail d’inventaire exceptionnel en identifiant près de 7000 phénomènes karstiques dans le département, une base documentaire utilisée par les organismes publics et para publics pour la gestion du territoire, sa protection et les études scientifiques associées. Auteurs de l’inventaire spéléologique du Doubs sous forme de 5 tomes parus entre 1988 et 2015, de la base de donnée numérique « Basekarst », d’une revue annuelle « Le karst comtois » mais également de leurs participations actives à de nombreux programmes scientifiques (Collaboration à des thèses avec l’Université de Besançon, </w:t>
      </w:r>
      <w:r>
        <w:rPr>
          <w:lang w:val="fr-FR"/>
        </w:rPr>
        <w:lastRenderedPageBreak/>
        <w:t>instrumentation des circulations souterraines, programme Nutrikarst, etc ….), les spéléologues sont de précieux auxiliaires de la gestion et de la protection de l’environnement dont ils participent activement à la connaissance.</w:t>
      </w:r>
    </w:p>
    <w:p w14:paraId="2A6C715D" w14:textId="77777777" w:rsidR="00AB50CE" w:rsidRDefault="00000000">
      <w:pPr>
        <w:pStyle w:val="Titre1"/>
        <w:rPr>
          <w:lang w:val="fr-FR"/>
        </w:rPr>
      </w:pPr>
      <w:r>
        <w:rPr>
          <w:lang w:val="fr-FR"/>
        </w:rPr>
        <w:t>Origine du projet</w:t>
      </w:r>
    </w:p>
    <w:p w14:paraId="1D45D474" w14:textId="77777777" w:rsidR="00AB50CE" w:rsidRDefault="00000000">
      <w:pPr>
        <w:rPr>
          <w:lang w:val="fr-FR"/>
        </w:rPr>
      </w:pPr>
      <w:r>
        <w:rPr>
          <w:lang w:val="fr-FR"/>
        </w:rPr>
        <w:t>Deux comités départementaux et un comité régional (le CDS 93, le CoSIF et le CDS 21) se sont associés depuis 2013 pour étudier la rivière souterraine du réseau de Francheville (Côte-d'Or). Ces travaux ont permis de mettre en évidence la dynamique des crues, et de valoriser ces travaux avec la mise en place d'une échelle limnimétrique couplée à une station autonome mettant à disposition les données en temps réel pour tous les pratiquants (figure 1). Les hauteurs d'eau observées dans le réseau, au niveau des deux principaux passages pouvant siphonner, ont été extrapolées au niveau de l'échelle limnimétrique (figure 2), et permettent ainsi à tout pratiquant de connaître l'état hydrologique du réseau, et donc de ne s'engager que si les conditions sont satisfaisantes.</w:t>
      </w:r>
    </w:p>
    <w:p w14:paraId="1AF42D8D" w14:textId="77777777" w:rsidR="00AB50CE" w:rsidRDefault="00000000">
      <w:pPr>
        <w:pStyle w:val="FigureCaption"/>
        <w:rPr>
          <w:lang w:val="fr-FR"/>
        </w:rPr>
      </w:pPr>
      <w:r>
        <w:rPr>
          <w:lang w:val="fr-FR"/>
        </w:rPr>
        <w:t xml:space="preserve">Figure 1 : Le plan de la grotte ainsi que sa situation en France. </w:t>
      </w:r>
    </w:p>
    <w:p w14:paraId="248431AC" w14:textId="77777777" w:rsidR="00AB50CE" w:rsidRDefault="00000000">
      <w:pPr>
        <w:pStyle w:val="FigureCaption"/>
        <w:rPr>
          <w:lang w:val="fr-FR"/>
        </w:rPr>
      </w:pPr>
      <w:r>
        <w:rPr>
          <w:lang w:val="fr-FR"/>
        </w:rPr>
        <w:t>Figure 2 : Partie du plan de la grotte.</w:t>
      </w:r>
    </w:p>
    <w:p w14:paraId="7E7256D7" w14:textId="77777777" w:rsidR="00AB50CE" w:rsidRDefault="00000000">
      <w:pPr>
        <w:pStyle w:val="Titre1"/>
        <w:rPr>
          <w:lang w:val="fr-FR"/>
        </w:rPr>
      </w:pPr>
      <w:r>
        <w:rPr>
          <w:lang w:val="fr-FR"/>
        </w:rPr>
        <w:t>Une ressource majeure encore inconnue</w:t>
      </w:r>
    </w:p>
    <w:p w14:paraId="037A81A0" w14:textId="77777777" w:rsidR="00AB50CE" w:rsidRDefault="00000000">
      <w:pPr>
        <w:suppressAutoHyphens w:val="0"/>
        <w:rPr>
          <w:rFonts w:eastAsia="Songti SC"/>
          <w:lang w:val="fr-FR" w:bidi="ar-SA"/>
        </w:rPr>
      </w:pPr>
      <w:r>
        <w:rPr>
          <w:rFonts w:eastAsia="Songti SC"/>
          <w:lang w:val="fr-FR" w:bidi="ar-SA"/>
        </w:rPr>
        <w:t>La source des 3 pucelles</w:t>
      </w:r>
      <w:r>
        <w:rPr>
          <w:rFonts w:eastAsia="Songti SC"/>
          <w:b/>
          <w:bCs/>
          <w:lang w:val="fr-FR" w:bidi="ar-SA"/>
        </w:rPr>
        <w:t xml:space="preserve"> </w:t>
      </w:r>
      <w:r>
        <w:rPr>
          <w:rFonts w:eastAsia="Songti SC"/>
          <w:lang w:val="fr-FR" w:bidi="ar-SA"/>
        </w:rPr>
        <w:t>est constituée d’un groupe de trois émergences situées en rive droite du Dessoubre sous la route départementale RD 39 sur le territoire de la commune de Laval-le-Prieuré.</w:t>
      </w:r>
    </w:p>
    <w:p w14:paraId="0DCB92FF" w14:textId="77777777" w:rsidR="00AB50CE" w:rsidRDefault="00000000">
      <w:pPr>
        <w:suppressAutoHyphens w:val="0"/>
        <w:rPr>
          <w:rFonts w:eastAsia="Songti SC"/>
          <w:lang w:val="fr-FR" w:bidi="ar-SA"/>
        </w:rPr>
      </w:pPr>
      <w:r>
        <w:rPr>
          <w:rFonts w:eastAsia="Songti SC"/>
          <w:lang w:val="fr-FR" w:bidi="ar-SA"/>
        </w:rPr>
        <w:t>Cette zone de résurgence participe donc à l’alimentation du Dessoubre dans son cours supérieur car en basses eaux, c’est près de 60% du débit de la rivière</w:t>
      </w:r>
      <w:r>
        <w:rPr>
          <w:rFonts w:eastAsia="Songti SC"/>
          <w:b/>
          <w:bCs/>
          <w:lang w:val="fr-FR" w:bidi="ar-SA"/>
        </w:rPr>
        <w:t xml:space="preserve"> </w:t>
      </w:r>
      <w:r>
        <w:rPr>
          <w:rFonts w:eastAsia="Songti SC"/>
          <w:lang w:val="fr-FR" w:bidi="ar-SA"/>
        </w:rPr>
        <w:t>qui est assuré par ce groupe de sources.</w:t>
      </w:r>
    </w:p>
    <w:p w14:paraId="55D2F922" w14:textId="77777777" w:rsidR="00AB50CE" w:rsidRDefault="00000000">
      <w:pPr>
        <w:suppressAutoHyphens w:val="0"/>
        <w:rPr>
          <w:lang w:val="fr-FR"/>
        </w:rPr>
      </w:pPr>
      <w:r>
        <w:rPr>
          <w:rFonts w:eastAsia="Songti SC"/>
          <w:lang w:val="fr-FR" w:bidi="ar-SA"/>
        </w:rPr>
        <w:t>Le bassin de cette série de source est très complexe, mal connu</w:t>
      </w:r>
      <w:r>
        <w:rPr>
          <w:rFonts w:eastAsia="Songti SC"/>
          <w:b/>
          <w:bCs/>
          <w:lang w:val="fr-FR" w:bidi="ar-SA"/>
        </w:rPr>
        <w:t xml:space="preserve"> </w:t>
      </w:r>
      <w:r>
        <w:rPr>
          <w:rFonts w:eastAsia="Songti SC"/>
          <w:lang w:val="fr-FR" w:bidi="ar-SA"/>
        </w:rPr>
        <w:t>et vraisemblablement interconnecté à la fois avec les zones de la rive gauche avec le plateau du Russey compris entre Le-Bélieu et Bonnétage mais également avec la rive gauche de la vallée avec la Reverotte supérieure (Puits de la Doye / Secteur de Martinvaux) et même la région de Pierrefontaine-les-Varans.</w:t>
      </w:r>
      <w:r>
        <w:rPr>
          <w:lang w:val="fr-FR"/>
        </w:rPr>
        <w:t xml:space="preserve"> </w:t>
      </w:r>
    </w:p>
    <w:p w14:paraId="19AC658B" w14:textId="77777777" w:rsidR="00AB50CE" w:rsidRDefault="00000000">
      <w:pPr>
        <w:pStyle w:val="Titre2"/>
        <w:rPr>
          <w:lang w:val="fr-FR"/>
        </w:rPr>
      </w:pPr>
      <w:r>
        <w:rPr>
          <w:lang w:val="fr-FR"/>
        </w:rPr>
        <w:t>Explorations en cours</w:t>
      </w:r>
    </w:p>
    <w:p w14:paraId="05C05752" w14:textId="77777777" w:rsidR="00AB50CE" w:rsidRDefault="00000000">
      <w:pPr>
        <w:pStyle w:val="Titre3"/>
        <w:rPr>
          <w:lang w:val="fr-FR"/>
        </w:rPr>
      </w:pPr>
      <w:r>
        <w:rPr>
          <w:lang w:val="fr-FR"/>
        </w:rPr>
        <w:t>Première intervention</w:t>
      </w:r>
    </w:p>
    <w:p w14:paraId="3EE2A5C1" w14:textId="77777777" w:rsidR="00AB50CE" w:rsidRDefault="00000000">
      <w:pPr>
        <w:rPr>
          <w:lang w:val="fr-FR"/>
        </w:rPr>
      </w:pPr>
      <w:r>
        <w:rPr>
          <w:lang w:val="fr-FR"/>
        </w:rPr>
        <w:t xml:space="preserve">Au cours du printemps, l’équipe de spéléologues plongeurs du Comité Départemental de Spéléologie du Doubs a réalisé quelques explorations au niveau de la résurgence principale des 3 pucelles afin de tenter de pénétrer dans le réseau noyé souterrain qui semble se développer en profondeur. </w:t>
      </w:r>
    </w:p>
    <w:p w14:paraId="17FDA319" w14:textId="77777777" w:rsidR="00AB50CE" w:rsidRDefault="00AB50CE">
      <w:pPr>
        <w:rPr>
          <w:lang w:val="fr-FR"/>
        </w:rPr>
      </w:pPr>
    </w:p>
    <w:p w14:paraId="7866C295" w14:textId="77777777" w:rsidR="00AB50CE" w:rsidRDefault="00000000">
      <w:pPr>
        <w:pStyle w:val="Titre3"/>
        <w:rPr>
          <w:lang w:val="fr-FR"/>
        </w:rPr>
      </w:pPr>
      <w:r>
        <w:rPr>
          <w:lang w:val="fr-FR"/>
        </w:rPr>
        <w:t>Deuxième intervention</w:t>
      </w:r>
    </w:p>
    <w:p w14:paraId="1943B96E" w14:textId="77777777" w:rsidR="00AB50CE" w:rsidRDefault="00000000">
      <w:pPr>
        <w:rPr>
          <w:lang w:val="fr-FR"/>
        </w:rPr>
      </w:pPr>
      <w:r>
        <w:rPr>
          <w:lang w:val="fr-FR"/>
        </w:rPr>
        <w:t>Le 15 mai, une équipe renforcée (DL, SG, CM, AM, MG et CR) se mobilise pour dégager les blocs en équilibre dans la vasque d’entrée et purger en partie l’ancienne voûte en moellons de tufs présentant un risque important (Nota : Un message d’information sera alors transmis au CD25, l’ouvrage étant situé en partie sous l’emprise de la RD 39). Les blocs les plus volumineux sont alors retirés au palan manuel et débités pour permettre leurs stockages sur la berge en rive droite. Environ 1m3 de blocs seront alors extrait de la vasque pour faciliter l’accès au point bas. Une première inspection par endoscopie immergée permettra alors d’identifier le point d’apparition du flux au travers d’un laminoir large de plusieurs mètres mais d’une hauteur interdisant le passage d’un plongeur sans désobstruction.</w:t>
      </w:r>
    </w:p>
    <w:p w14:paraId="352233FC" w14:textId="77777777" w:rsidR="00A74D2B" w:rsidRDefault="00A74D2B" w:rsidP="00A74D2B">
      <w:pPr>
        <w:pStyle w:val="FigureCaption"/>
        <w:rPr>
          <w:lang w:val="fr-FR"/>
        </w:rPr>
      </w:pPr>
      <w:r>
        <w:rPr>
          <w:lang w:val="fr-FR"/>
        </w:rPr>
        <w:t>Figure 3 : Plan et coupe de la topographie</w:t>
      </w:r>
    </w:p>
    <w:p w14:paraId="7C311B17" w14:textId="77777777" w:rsidR="00A74D2B" w:rsidRDefault="00A74D2B" w:rsidP="00A74D2B">
      <w:pPr>
        <w:rPr>
          <w:lang w:val="fr-FR"/>
        </w:rPr>
      </w:pPr>
      <w:r>
        <w:rPr>
          <w:lang w:val="fr-FR"/>
        </w:rPr>
        <w:lastRenderedPageBreak/>
        <w:t>Les spéléologues du Comité Départemental de Spéléologie du Doubs portent donc à « connaissance » des autorités (OFB, DDT, DREAL, EPAGE, PNRDH …) en charge de la gestion et de la protection des milieux naturels du secteur, ces premiers éléments d’information et sollicitent un accord quant à la poursuite de ces explorations.</w:t>
      </w:r>
    </w:p>
    <w:p w14:paraId="419642B0" w14:textId="77777777" w:rsidR="00AB50CE" w:rsidRDefault="00000000">
      <w:pPr>
        <w:pStyle w:val="Titre1"/>
        <w:rPr>
          <w:lang w:val="fr-FR"/>
        </w:rPr>
      </w:pPr>
      <w:r>
        <w:rPr>
          <w:lang w:val="fr-FR"/>
        </w:rPr>
        <w:t>Hydrologie</w:t>
      </w:r>
    </w:p>
    <w:p w14:paraId="3C893D25" w14:textId="77777777" w:rsidR="00AB50CE" w:rsidRDefault="00000000">
      <w:pPr>
        <w:widowControl w:val="0"/>
        <w:rPr>
          <w:lang w:val="fr-FR"/>
        </w:rPr>
      </w:pPr>
      <w:r>
        <w:rPr>
          <w:lang w:val="fr-FR"/>
        </w:rPr>
        <w:t>Le gouffre du Bois du Truchot est une des rares pertes pénétrables du secteur, située à 403 m d’altitude. L’eau d’infiltration arrive de façon diffuse sur la face sud-ouest de la doline, au contact de l’argile oxfordienne et du Callovien.</w:t>
      </w:r>
      <w:r>
        <w:rPr>
          <w:sz w:val="22"/>
          <w:szCs w:val="22"/>
          <w:lang w:val="fr-FR"/>
        </w:rPr>
        <w:t xml:space="preserve"> </w:t>
      </w:r>
      <w:r>
        <w:rPr>
          <w:lang w:val="fr-FR"/>
        </w:rPr>
        <w:t>Il se forme un ruisselet qui cascade dans la partie historique du gouffre et qui</w:t>
      </w:r>
      <w:r>
        <w:rPr>
          <w:sz w:val="22"/>
          <w:szCs w:val="22"/>
          <w:lang w:val="fr-FR"/>
        </w:rPr>
        <w:t xml:space="preserve"> </w:t>
      </w:r>
      <w:r>
        <w:rPr>
          <w:lang w:val="fr-FR"/>
        </w:rPr>
        <w:t>disparait dans l’éboulis du fond (Martel, 1901, Fournier, 1923).</w:t>
      </w:r>
    </w:p>
    <w:p w14:paraId="2AB15BE0" w14:textId="77777777" w:rsidR="00A45D20" w:rsidRDefault="00A45D20">
      <w:pPr>
        <w:rPr>
          <w:lang w:val="fr-FR"/>
        </w:rPr>
      </w:pPr>
    </w:p>
    <w:p w14:paraId="05A2D375" w14:textId="4DA0BE4D" w:rsidR="00AB50CE" w:rsidRDefault="00000000">
      <w:pPr>
        <w:rPr>
          <w:lang w:val="fr-FR"/>
        </w:rPr>
      </w:pPr>
      <w:r>
        <w:rPr>
          <w:lang w:val="fr-FR"/>
        </w:rPr>
        <w:t>L’anticlinal, plissé et fracturé par l’orogénèse alpine, puis pénéplané par le rabotage glaciaire a vu sa voûte se démanteler peu à peu avec la création d’une première combe axiale. Ce bassin fermé primaire, établi au toit des marnes de l’Oxfordien, était alors drainé par des circulations souterraines dans le jurassique supérieur (perte du Mémont à la base des calcaires du Rauracien). Puis ce bassin s’est alors scindé en deux combes latérales avec l’apparition d’un mont dérivé dans la partie nord-est (Les Monnins-dessus).</w:t>
      </w:r>
    </w:p>
    <w:p w14:paraId="5296DFFB" w14:textId="77777777" w:rsidR="00AB50CE" w:rsidRDefault="00000000">
      <w:pPr>
        <w:rPr>
          <w:lang w:val="fr-FR"/>
        </w:rPr>
      </w:pPr>
      <w:r>
        <w:rPr>
          <w:lang w:val="fr-FR"/>
        </w:rPr>
        <w:t>On notera la présence d’une cluse tronçonnant le crêt anticlinal du Bois du Laitey au niveau du lieu-dit La Vierge. Ce chenal assurait sans doute le drainage aérien de la Combe latérale de la Seignotte aux Monnins-dessous (Branche armée du CDS25, 2026).</w:t>
      </w:r>
    </w:p>
    <w:p w14:paraId="011B8E08" w14:textId="77777777" w:rsidR="00AB50CE" w:rsidRDefault="00000000">
      <w:pPr>
        <w:pStyle w:val="Titre1"/>
        <w:rPr>
          <w:lang w:val="fr-FR"/>
        </w:rPr>
      </w:pPr>
      <w:r>
        <w:rPr>
          <w:lang w:val="fr-FR"/>
        </w:rPr>
        <w:t>Conclusion</w:t>
      </w:r>
    </w:p>
    <w:p w14:paraId="19248753" w14:textId="77777777" w:rsidR="00AB50CE" w:rsidRDefault="00000000">
      <w:pPr>
        <w:widowControl w:val="0"/>
        <w:rPr>
          <w:rFonts w:eastAsia="Times New Roman"/>
          <w:sz w:val="22"/>
          <w:szCs w:val="22"/>
          <w:lang w:val="fr-FR"/>
        </w:rPr>
      </w:pPr>
      <w:r>
        <w:rPr>
          <w:lang w:val="fr-FR"/>
        </w:rPr>
        <w:t xml:space="preserve">A Fouvent-le-Bas, parmi les nombreuses cavités naturelles, deux grottes adjacentes (Cuvier 1 et Cuvier 2) ont été fréquentées par les hominidés et les faunes du Pléistocène supérieur. Les deux grottes Cuvier 1 et 2 continuent d’interroger les spécialistes de nombreuses disciplines scientifiques comme les géologues, les géomorphologues, les lithiciens et les archéo-zoologues. Compte tenu de l’intérêt pluridisciplinaire intégrant géographie, karstologie, sédimentologie, industries lithiques, cultures matérielles de transition et faunes préservées, compte tenu des découvertes effectuées de 1989 à 1992 et de 2021, le site de Fouvent-le-Bas se hisse parmi les sites archéologiques en contexte karstique les plus importants du grand Est. </w:t>
      </w:r>
    </w:p>
    <w:p w14:paraId="29683A65" w14:textId="77777777" w:rsidR="00AB50CE" w:rsidRDefault="00AB50CE">
      <w:pPr>
        <w:rPr>
          <w:lang w:val="fr-FR"/>
        </w:rPr>
      </w:pPr>
    </w:p>
    <w:p w14:paraId="1E94FF5C" w14:textId="77777777" w:rsidR="00AB50CE" w:rsidRDefault="00000000">
      <w:pPr>
        <w:pStyle w:val="Titre2"/>
        <w:rPr>
          <w:lang w:val="fr-FR"/>
        </w:rPr>
      </w:pPr>
      <w:r>
        <w:rPr>
          <w:lang w:val="fr-FR"/>
        </w:rPr>
        <w:t>Remerciements</w:t>
      </w:r>
    </w:p>
    <w:p w14:paraId="55153344" w14:textId="77777777" w:rsidR="00AB50CE" w:rsidRDefault="00000000">
      <w:pPr>
        <w:suppressAutoHyphens w:val="0"/>
        <w:rPr>
          <w:rFonts w:eastAsia="Songti SC"/>
          <w:lang w:val="fr-FR" w:bidi="ar-SA"/>
        </w:rPr>
      </w:pPr>
      <w:r>
        <w:rPr>
          <w:rFonts w:eastAsia="Songti SC"/>
          <w:lang w:val="fr-FR" w:bidi="ar-SA"/>
        </w:rPr>
        <w:t>La source des 3 pucelles</w:t>
      </w:r>
      <w:r>
        <w:rPr>
          <w:rFonts w:eastAsia="Songti SC"/>
          <w:b/>
          <w:bCs/>
          <w:lang w:val="fr-FR" w:bidi="ar-SA"/>
        </w:rPr>
        <w:t xml:space="preserve"> </w:t>
      </w:r>
      <w:r>
        <w:rPr>
          <w:rFonts w:eastAsia="Songti SC"/>
          <w:lang w:val="fr-FR" w:bidi="ar-SA"/>
        </w:rPr>
        <w:t>est constituée d’un groupe de trois émergences situées en rive droite du Dessoubre sous la route départementale RD 39 sur le territoire de la commune de Laval-le-Prieuré.</w:t>
      </w:r>
    </w:p>
    <w:p w14:paraId="295C9ACC" w14:textId="77777777" w:rsidR="00AB50CE" w:rsidRDefault="00000000">
      <w:pPr>
        <w:suppressAutoHyphens w:val="0"/>
        <w:spacing w:line="240" w:lineRule="auto"/>
        <w:rPr>
          <w:rFonts w:eastAsia="Songti SC"/>
          <w:lang w:val="fr-FR" w:bidi="ar-SA"/>
        </w:rPr>
      </w:pPr>
      <w:r>
        <w:rPr>
          <w:rFonts w:eastAsia="Songti SC"/>
          <w:lang w:val="fr-FR" w:bidi="ar-SA"/>
        </w:rPr>
        <w:t>Cette zone de résurgence participe donc à l’alimentation du Dessoubre dans son cours supérieur car en basses eaux, c’est près de 60% du débit de la rivière</w:t>
      </w:r>
      <w:r>
        <w:rPr>
          <w:rFonts w:eastAsia="Songti SC"/>
          <w:b/>
          <w:bCs/>
          <w:lang w:val="fr-FR" w:bidi="ar-SA"/>
        </w:rPr>
        <w:t xml:space="preserve"> </w:t>
      </w:r>
      <w:r>
        <w:rPr>
          <w:rFonts w:eastAsia="Songti SC"/>
          <w:lang w:val="fr-FR" w:bidi="ar-SA"/>
        </w:rPr>
        <w:t>qui est assuré par ce groupe de sources.</w:t>
      </w:r>
    </w:p>
    <w:p w14:paraId="60AB533B" w14:textId="77777777" w:rsidR="00AB50CE" w:rsidRDefault="00AB50CE">
      <w:pPr>
        <w:suppressAutoHyphens w:val="0"/>
        <w:spacing w:line="240" w:lineRule="auto"/>
        <w:rPr>
          <w:rFonts w:eastAsia="Songti SC"/>
          <w:lang w:val="fr-FR" w:bidi="ar-SA"/>
        </w:rPr>
      </w:pPr>
    </w:p>
    <w:p w14:paraId="27A4F772" w14:textId="77777777" w:rsidR="00AB50CE" w:rsidRDefault="00000000">
      <w:pPr>
        <w:pStyle w:val="Titre2"/>
        <w:rPr>
          <w:lang w:val="fr-FR"/>
        </w:rPr>
      </w:pPr>
      <w:r>
        <w:rPr>
          <w:lang w:val="fr-FR"/>
        </w:rPr>
        <w:t>Bibliographie</w:t>
      </w:r>
    </w:p>
    <w:p w14:paraId="63EFF676" w14:textId="77777777" w:rsidR="00A45D20" w:rsidRPr="00A45D20" w:rsidRDefault="00A45D20" w:rsidP="00A45D20">
      <w:pPr>
        <w:pStyle w:val="NormalWeb"/>
        <w:spacing w:before="0" w:beforeAutospacing="0" w:after="0" w:afterAutospacing="0"/>
        <w:ind w:left="284" w:hanging="284"/>
        <w:rPr>
          <w:rFonts w:ascii="Arial" w:hAnsi="Arial" w:cs="Arial"/>
          <w:sz w:val="20"/>
          <w:szCs w:val="20"/>
        </w:rPr>
      </w:pPr>
      <w:r w:rsidRPr="00A45D20">
        <w:rPr>
          <w:rStyle w:val="lev"/>
          <w:rFonts w:ascii="Arial" w:hAnsi="Arial" w:cs="Arial"/>
          <w:b w:val="0"/>
          <w:bCs w:val="0"/>
          <w:sz w:val="20"/>
          <w:szCs w:val="20"/>
        </w:rPr>
        <w:t>CAMPY, M. et CONTINI, D.</w:t>
      </w:r>
      <w:r w:rsidRPr="00A45D20">
        <w:rPr>
          <w:rFonts w:ascii="Arial" w:hAnsi="Arial" w:cs="Arial"/>
          <w:sz w:val="20"/>
          <w:szCs w:val="20"/>
        </w:rPr>
        <w:t xml:space="preserve"> 1981. </w:t>
      </w:r>
      <w:r w:rsidRPr="00A45D20">
        <w:rPr>
          <w:rStyle w:val="Accentuation"/>
          <w:rFonts w:ascii="Arial" w:hAnsi="Arial" w:cs="Arial"/>
          <w:sz w:val="20"/>
          <w:szCs w:val="20"/>
        </w:rPr>
        <w:t>La néotectonique en Franche-Comté (France), Vosges méridionales, Jura septentrional</w:t>
      </w:r>
      <w:r w:rsidRPr="00A45D20">
        <w:rPr>
          <w:rFonts w:ascii="Arial" w:hAnsi="Arial" w:cs="Arial"/>
          <w:sz w:val="20"/>
          <w:szCs w:val="20"/>
        </w:rPr>
        <w:t xml:space="preserve">. </w:t>
      </w:r>
      <w:r w:rsidRPr="00A45D20">
        <w:rPr>
          <w:rStyle w:val="lev"/>
          <w:rFonts w:ascii="Arial" w:hAnsi="Arial" w:cs="Arial"/>
          <w:b w:val="0"/>
          <w:bCs w:val="0"/>
          <w:sz w:val="20"/>
          <w:szCs w:val="20"/>
        </w:rPr>
        <w:t>Bulletin de l’Association française pour l’étude du Quaternaire</w:t>
      </w:r>
      <w:r w:rsidRPr="00A45D20">
        <w:rPr>
          <w:rFonts w:ascii="Arial" w:hAnsi="Arial" w:cs="Arial"/>
          <w:sz w:val="20"/>
          <w:szCs w:val="20"/>
        </w:rPr>
        <w:t xml:space="preserve">, </w:t>
      </w:r>
      <w:r w:rsidRPr="00A45D20">
        <w:rPr>
          <w:rStyle w:val="lev"/>
          <w:rFonts w:ascii="Arial" w:hAnsi="Arial" w:cs="Arial"/>
          <w:b w:val="0"/>
          <w:bCs w:val="0"/>
          <w:sz w:val="20"/>
          <w:szCs w:val="20"/>
        </w:rPr>
        <w:t>18</w:t>
      </w:r>
      <w:r w:rsidRPr="00A45D20">
        <w:rPr>
          <w:rFonts w:ascii="Arial" w:hAnsi="Arial" w:cs="Arial"/>
          <w:sz w:val="20"/>
          <w:szCs w:val="20"/>
        </w:rPr>
        <w:t>(3</w:t>
      </w:r>
      <w:r w:rsidRPr="00A45D20">
        <w:rPr>
          <w:rFonts w:ascii="Arial" w:hAnsi="Arial" w:cs="Arial"/>
          <w:sz w:val="20"/>
          <w:szCs w:val="20"/>
        </w:rPr>
        <w:noBreakHyphen/>
        <w:t>4), pp. 193</w:t>
      </w:r>
      <w:r w:rsidRPr="00A45D20">
        <w:rPr>
          <w:rFonts w:ascii="Arial" w:hAnsi="Arial" w:cs="Arial"/>
          <w:sz w:val="20"/>
          <w:szCs w:val="20"/>
        </w:rPr>
        <w:noBreakHyphen/>
        <w:t>205.</w:t>
      </w:r>
    </w:p>
    <w:p w14:paraId="38A20103" w14:textId="77777777" w:rsidR="00A45D20" w:rsidRPr="00A45D20" w:rsidRDefault="00A45D20" w:rsidP="00A45D20">
      <w:pPr>
        <w:pStyle w:val="Quotations"/>
        <w:ind w:left="284" w:right="-1" w:hanging="284"/>
        <w:rPr>
          <w:lang w:val="fr-FR"/>
        </w:rPr>
      </w:pPr>
      <w:r w:rsidRPr="00A45D20">
        <w:rPr>
          <w:lang w:val="fr-FR"/>
        </w:rPr>
        <w:t xml:space="preserve">FOURNIER, E. 1923. </w:t>
      </w:r>
      <w:r w:rsidRPr="00A45D20">
        <w:rPr>
          <w:i/>
          <w:iCs/>
          <w:lang w:val="fr-FR"/>
        </w:rPr>
        <w:t>Explorations souterraines en Franche-Comté : Les gouffres</w:t>
      </w:r>
      <w:r w:rsidRPr="00A45D20">
        <w:rPr>
          <w:lang w:val="fr-FR"/>
        </w:rPr>
        <w:t>. Besançon : Imprimerie Jacques et Demontrond. 212 p.</w:t>
      </w:r>
    </w:p>
    <w:p w14:paraId="3A0D927A" w14:textId="77777777" w:rsidR="00A45D20" w:rsidRPr="00A45D20" w:rsidRDefault="00A45D20" w:rsidP="00A45D20">
      <w:pPr>
        <w:pStyle w:val="NormalWeb"/>
        <w:spacing w:before="0" w:beforeAutospacing="0" w:after="0" w:afterAutospacing="0"/>
        <w:ind w:left="284" w:hanging="284"/>
        <w:rPr>
          <w:rFonts w:ascii="Arial" w:hAnsi="Arial" w:cs="Arial"/>
          <w:sz w:val="20"/>
          <w:szCs w:val="20"/>
        </w:rPr>
      </w:pPr>
      <w:r w:rsidRPr="00A45D20">
        <w:rPr>
          <w:rStyle w:val="lev"/>
          <w:rFonts w:ascii="Arial" w:hAnsi="Arial" w:cs="Arial"/>
          <w:b w:val="0"/>
          <w:bCs w:val="0"/>
          <w:sz w:val="20"/>
          <w:szCs w:val="20"/>
        </w:rPr>
        <w:t>GIGON, R. et MONNIN, J.</w:t>
      </w:r>
      <w:r w:rsidRPr="00A45D20">
        <w:rPr>
          <w:rFonts w:ascii="Arial" w:hAnsi="Arial" w:cs="Arial"/>
          <w:sz w:val="20"/>
          <w:szCs w:val="20"/>
        </w:rPr>
        <w:t xml:space="preserve"> 1966. </w:t>
      </w:r>
      <w:r w:rsidRPr="00A45D20">
        <w:rPr>
          <w:rStyle w:val="Accentuation"/>
          <w:rFonts w:ascii="Arial" w:hAnsi="Arial" w:cs="Arial"/>
          <w:sz w:val="20"/>
          <w:szCs w:val="20"/>
        </w:rPr>
        <w:t>Inventaire spéléologique du Sud-Est du département du Doubs</w:t>
      </w:r>
      <w:r w:rsidRPr="00A45D20">
        <w:rPr>
          <w:rFonts w:ascii="Arial" w:hAnsi="Arial" w:cs="Arial"/>
          <w:sz w:val="20"/>
          <w:szCs w:val="20"/>
        </w:rPr>
        <w:t xml:space="preserve">. </w:t>
      </w:r>
      <w:r w:rsidRPr="00A45D20">
        <w:rPr>
          <w:rStyle w:val="lev"/>
          <w:rFonts w:ascii="Arial" w:hAnsi="Arial" w:cs="Arial"/>
          <w:b w:val="0"/>
          <w:bCs w:val="0"/>
          <w:sz w:val="20"/>
          <w:szCs w:val="20"/>
        </w:rPr>
        <w:t>Annales de Spéléologie</w:t>
      </w:r>
      <w:r w:rsidRPr="00A45D20">
        <w:rPr>
          <w:rFonts w:ascii="Arial" w:hAnsi="Arial" w:cs="Arial"/>
          <w:sz w:val="20"/>
          <w:szCs w:val="20"/>
        </w:rPr>
        <w:t xml:space="preserve">, </w:t>
      </w:r>
      <w:r w:rsidRPr="00A45D20">
        <w:rPr>
          <w:rStyle w:val="lev"/>
          <w:rFonts w:ascii="Arial" w:hAnsi="Arial" w:cs="Arial"/>
          <w:b w:val="0"/>
          <w:bCs w:val="0"/>
          <w:sz w:val="20"/>
          <w:szCs w:val="20"/>
        </w:rPr>
        <w:t>21</w:t>
      </w:r>
      <w:r w:rsidRPr="00A45D20">
        <w:rPr>
          <w:rFonts w:ascii="Arial" w:hAnsi="Arial" w:cs="Arial"/>
          <w:sz w:val="20"/>
          <w:szCs w:val="20"/>
        </w:rPr>
        <w:t>(1), pp. 123</w:t>
      </w:r>
      <w:r w:rsidRPr="00A45D20">
        <w:rPr>
          <w:rFonts w:ascii="Arial" w:hAnsi="Arial" w:cs="Arial"/>
          <w:sz w:val="20"/>
          <w:szCs w:val="20"/>
        </w:rPr>
        <w:noBreakHyphen/>
        <w:t>124.</w:t>
      </w:r>
    </w:p>
    <w:p w14:paraId="35B9299D" w14:textId="25210216" w:rsidR="00A45D20" w:rsidRPr="00A45D20" w:rsidRDefault="00A45D20" w:rsidP="00A45D20">
      <w:pPr>
        <w:pStyle w:val="Quotations"/>
        <w:ind w:left="284" w:right="-1" w:hanging="284"/>
        <w:rPr>
          <w:lang w:val="fr-FR"/>
        </w:rPr>
      </w:pPr>
      <w:r w:rsidRPr="00A45D20">
        <w:rPr>
          <w:lang w:val="fr-FR"/>
        </w:rPr>
        <w:t xml:space="preserve">GIPEK. 2026. </w:t>
      </w:r>
      <w:r w:rsidRPr="00A45D20">
        <w:rPr>
          <w:i/>
          <w:iCs/>
          <w:lang w:val="fr-FR"/>
        </w:rPr>
        <w:t>Le Karst Comtois</w:t>
      </w:r>
      <w:r w:rsidRPr="00A45D20">
        <w:rPr>
          <w:lang w:val="fr-FR"/>
        </w:rPr>
        <w:t>, n° 4. 1273 p.</w:t>
      </w:r>
    </w:p>
    <w:p w14:paraId="5954D1C6" w14:textId="77777777" w:rsidR="00A45D20" w:rsidRPr="00A45D20" w:rsidRDefault="00A45D20" w:rsidP="00A45D20">
      <w:pPr>
        <w:pStyle w:val="Quotations"/>
        <w:ind w:left="284" w:right="-1" w:hanging="284"/>
        <w:rPr>
          <w:lang w:val="fr-FR"/>
        </w:rPr>
      </w:pPr>
      <w:r w:rsidRPr="00A45D20">
        <w:rPr>
          <w:lang w:val="fr-FR"/>
        </w:rPr>
        <w:t xml:space="preserve">JAILLET, S. 2000. </w:t>
      </w:r>
      <w:r w:rsidRPr="00A45D20">
        <w:rPr>
          <w:i/>
          <w:iCs/>
          <w:lang w:val="fr-FR"/>
        </w:rPr>
        <w:t>Un karst couvert de bas</w:t>
      </w:r>
      <w:r w:rsidRPr="00A45D20">
        <w:rPr>
          <w:i/>
          <w:iCs/>
          <w:lang w:val="fr-FR"/>
        </w:rPr>
        <w:noBreakHyphen/>
        <w:t>plateau : le Barrois ; structure, fonctionnement, évolution</w:t>
      </w:r>
      <w:r w:rsidRPr="00A45D20">
        <w:rPr>
          <w:lang w:val="fr-FR"/>
        </w:rPr>
        <w:t>. Thèse de doctorat. Université Bordeaux</w:t>
      </w:r>
      <w:r w:rsidRPr="00A45D20">
        <w:rPr>
          <w:lang w:val="fr-FR"/>
        </w:rPr>
        <w:noBreakHyphen/>
        <w:t>III, Laboratoire de géographie physique appliquée, Bordeaux. (Karstologia Mémoires, n° 12). 353 p.</w:t>
      </w:r>
    </w:p>
    <w:p w14:paraId="2FF259CC" w14:textId="77777777" w:rsidR="00A45D20" w:rsidRPr="00A45D20" w:rsidRDefault="00A45D20" w:rsidP="00A45D20">
      <w:pPr>
        <w:pStyle w:val="Quotations"/>
        <w:ind w:left="284" w:right="-1" w:hanging="284"/>
        <w:rPr>
          <w:lang w:val="fr-FR"/>
        </w:rPr>
      </w:pPr>
      <w:r w:rsidRPr="00A45D20">
        <w:rPr>
          <w:lang w:val="fr-FR"/>
        </w:rPr>
        <w:lastRenderedPageBreak/>
        <w:t xml:space="preserve">MAGNY, M. et RICHARD, H. (éds). 2023. </w:t>
      </w:r>
      <w:r w:rsidRPr="00A45D20">
        <w:rPr>
          <w:i/>
          <w:iCs/>
          <w:lang w:val="fr-FR"/>
        </w:rPr>
        <w:t>Histoire du climat dans les montagnes du Jura. Écosystèmes et sociétés face à un avenir incertain</w:t>
      </w:r>
      <w:r w:rsidRPr="00A45D20">
        <w:rPr>
          <w:lang w:val="fr-FR"/>
        </w:rPr>
        <w:t>. Éditions de la Belle Étoile. 304 p.</w:t>
      </w:r>
    </w:p>
    <w:p w14:paraId="07CEE702" w14:textId="77777777" w:rsidR="00A45D20" w:rsidRPr="00A45D20" w:rsidRDefault="00A45D20" w:rsidP="00A45D20">
      <w:pPr>
        <w:pStyle w:val="NormalWeb"/>
        <w:spacing w:before="0" w:beforeAutospacing="0" w:after="0" w:afterAutospacing="0"/>
        <w:ind w:left="284" w:hanging="284"/>
        <w:rPr>
          <w:rFonts w:ascii="Arial" w:hAnsi="Arial" w:cs="Arial"/>
          <w:sz w:val="20"/>
          <w:szCs w:val="20"/>
        </w:rPr>
      </w:pPr>
      <w:r w:rsidRPr="00A45D20">
        <w:rPr>
          <w:rStyle w:val="lev"/>
          <w:rFonts w:ascii="Arial" w:hAnsi="Arial" w:cs="Arial"/>
          <w:b w:val="0"/>
          <w:bCs w:val="0"/>
          <w:sz w:val="20"/>
          <w:szCs w:val="20"/>
        </w:rPr>
        <w:t>MARTEL, É.-A.</w:t>
      </w:r>
      <w:r w:rsidRPr="00A45D20">
        <w:rPr>
          <w:rFonts w:ascii="Arial" w:hAnsi="Arial" w:cs="Arial"/>
          <w:sz w:val="20"/>
          <w:szCs w:val="20"/>
        </w:rPr>
        <w:t xml:space="preserve"> 1901. </w:t>
      </w:r>
      <w:r w:rsidRPr="00A45D20">
        <w:rPr>
          <w:rStyle w:val="Accentuation"/>
          <w:rFonts w:ascii="Arial" w:hAnsi="Arial" w:cs="Arial"/>
          <w:sz w:val="20"/>
          <w:szCs w:val="20"/>
        </w:rPr>
        <w:t>Sur de nouvelles constatations relatives à la contamination des résurgences (sources vauclusiennes) des terrains calcaires en France</w:t>
      </w:r>
      <w:r w:rsidRPr="00A45D20">
        <w:rPr>
          <w:rFonts w:ascii="Arial" w:hAnsi="Arial" w:cs="Arial"/>
          <w:sz w:val="20"/>
          <w:szCs w:val="20"/>
        </w:rPr>
        <w:t xml:space="preserve">. </w:t>
      </w:r>
      <w:r w:rsidRPr="00A45D20">
        <w:rPr>
          <w:rStyle w:val="lev"/>
          <w:rFonts w:ascii="Arial" w:hAnsi="Arial" w:cs="Arial"/>
          <w:b w:val="0"/>
          <w:bCs w:val="0"/>
          <w:sz w:val="20"/>
          <w:szCs w:val="20"/>
        </w:rPr>
        <w:t>Comptes rendus hebdomadaires des séances de l’Académie des sciences</w:t>
      </w:r>
      <w:r w:rsidRPr="00A45D20">
        <w:rPr>
          <w:rFonts w:ascii="Arial" w:hAnsi="Arial" w:cs="Arial"/>
          <w:sz w:val="20"/>
          <w:szCs w:val="20"/>
        </w:rPr>
        <w:t xml:space="preserve">, </w:t>
      </w:r>
      <w:r w:rsidRPr="00A45D20">
        <w:rPr>
          <w:rStyle w:val="lev"/>
          <w:rFonts w:ascii="Arial" w:hAnsi="Arial" w:cs="Arial"/>
          <w:b w:val="0"/>
          <w:bCs w:val="0"/>
          <w:sz w:val="20"/>
          <w:szCs w:val="20"/>
        </w:rPr>
        <w:t>133</w:t>
      </w:r>
      <w:r w:rsidRPr="00A45D20">
        <w:rPr>
          <w:rFonts w:ascii="Arial" w:hAnsi="Arial" w:cs="Arial"/>
          <w:sz w:val="20"/>
          <w:szCs w:val="20"/>
        </w:rPr>
        <w:t>, pp. 1262</w:t>
      </w:r>
      <w:r w:rsidRPr="00A45D20">
        <w:rPr>
          <w:rFonts w:ascii="Arial" w:hAnsi="Arial" w:cs="Arial"/>
          <w:sz w:val="20"/>
          <w:szCs w:val="20"/>
        </w:rPr>
        <w:noBreakHyphen/>
        <w:t>1264.</w:t>
      </w:r>
    </w:p>
    <w:p w14:paraId="520DE338" w14:textId="0DDC0B0E" w:rsidR="00AB50CE" w:rsidRDefault="00A45D20" w:rsidP="00A45D20">
      <w:pPr>
        <w:pStyle w:val="Quotations"/>
        <w:ind w:left="284" w:right="-1" w:hanging="284"/>
        <w:rPr>
          <w:lang w:val="fr-FR"/>
        </w:rPr>
      </w:pPr>
      <w:r w:rsidRPr="00A45D20">
        <w:rPr>
          <w:lang w:val="fr-FR"/>
        </w:rPr>
        <w:t xml:space="preserve">NUFFER, R. 1973. </w:t>
      </w:r>
      <w:r w:rsidRPr="00A45D20">
        <w:rPr>
          <w:i/>
          <w:iCs/>
          <w:lang w:val="fr-FR"/>
        </w:rPr>
        <w:t>Cavités et phénomènes karstiques de la Haute</w:t>
      </w:r>
      <w:r w:rsidRPr="00A45D20">
        <w:rPr>
          <w:i/>
          <w:iCs/>
          <w:lang w:val="fr-FR"/>
        </w:rPr>
        <w:noBreakHyphen/>
        <w:t>Saône</w:t>
      </w:r>
      <w:r w:rsidRPr="00A45D20">
        <w:rPr>
          <w:lang w:val="fr-FR"/>
        </w:rPr>
        <w:t xml:space="preserve">. </w:t>
      </w:r>
      <w:r w:rsidRPr="00A45D20">
        <w:t>[S.l.] : [s.n.]</w:t>
      </w:r>
      <w:r>
        <w:t>,</w:t>
      </w:r>
      <w:r w:rsidRPr="00A45D20">
        <w:rPr>
          <w:lang w:val="fr-FR"/>
        </w:rPr>
        <w:t xml:space="preserve"> p. 15</w:t>
      </w:r>
    </w:p>
    <w:p w14:paraId="72705104" w14:textId="690F000B" w:rsidR="00A74D2B" w:rsidRPr="00A74D2B" w:rsidRDefault="00A74D2B" w:rsidP="00A45D20">
      <w:pPr>
        <w:pStyle w:val="Quotations"/>
        <w:ind w:left="284" w:right="-1" w:hanging="284"/>
        <w:rPr>
          <w:lang w:val="fr-FR"/>
        </w:rPr>
      </w:pPr>
      <w:r w:rsidRPr="00A74D2B">
        <w:rPr>
          <w:lang w:val="fr-FR"/>
        </w:rPr>
        <w:t>SSS</w:t>
      </w:r>
      <w:r w:rsidRPr="00A74D2B">
        <w:rPr>
          <w:lang w:val="fr-FR"/>
        </w:rPr>
        <w:noBreakHyphen/>
      </w:r>
      <w:r>
        <w:rPr>
          <w:lang w:val="fr-FR"/>
        </w:rPr>
        <w:t>FFS-</w:t>
      </w:r>
      <w:r w:rsidRPr="00A74D2B">
        <w:rPr>
          <w:lang w:val="fr-FR"/>
        </w:rPr>
        <w:t>CDS25</w:t>
      </w:r>
      <w:r w:rsidRPr="00A74D2B">
        <w:rPr>
          <w:lang w:val="fr-FR"/>
        </w:rPr>
        <w:noBreakHyphen/>
        <w:t xml:space="preserve">GIPEK. 2027. </w:t>
      </w:r>
      <w:r w:rsidRPr="00A74D2B">
        <w:rPr>
          <w:i/>
          <w:iCs/>
          <w:lang w:val="fr-FR"/>
        </w:rPr>
        <w:t>Stalactite – Le Karst Comtois n° 5. Actes du Congrès de Morteau.</w:t>
      </w:r>
      <w:r w:rsidRPr="00A74D2B">
        <w:rPr>
          <w:lang w:val="fr-FR"/>
        </w:rPr>
        <w:t xml:space="preserve"> pp. 22</w:t>
      </w:r>
      <w:r w:rsidRPr="00A74D2B">
        <w:rPr>
          <w:lang w:val="fr-FR"/>
        </w:rPr>
        <w:noBreakHyphen/>
        <w:t>33.</w:t>
      </w:r>
    </w:p>
    <w:sectPr w:rsidR="00A74D2B" w:rsidRPr="00A74D2B">
      <w:pgSz w:w="11906" w:h="16838"/>
      <w:pgMar w:top="1701" w:right="1134" w:bottom="1701"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ongti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imes;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F4AD3"/>
    <w:multiLevelType w:val="multilevel"/>
    <w:tmpl w:val="AFAC09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C930C21"/>
    <w:multiLevelType w:val="multilevel"/>
    <w:tmpl w:val="D99CCC0E"/>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774400363">
    <w:abstractNumId w:val="1"/>
  </w:num>
  <w:num w:numId="2" w16cid:durableId="161057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CE"/>
    <w:rsid w:val="003D1645"/>
    <w:rsid w:val="005A583D"/>
    <w:rsid w:val="006153B6"/>
    <w:rsid w:val="00A45D20"/>
    <w:rsid w:val="00A74D2B"/>
    <w:rsid w:val="00AB50CE"/>
    <w:rsid w:val="00D65DA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45DE"/>
  <w15:docId w15:val="{C87D809C-FBD5-4508-987D-95251278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ongti SC" w:hAnsi="Arial" w:cs="Arial Unicode MS"/>
        <w:sz w:val="24"/>
        <w:szCs w:val="24"/>
        <w:lang w:val="de-CH"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exact"/>
      <w:jc w:val="both"/>
    </w:pPr>
    <w:rPr>
      <w:rFonts w:eastAsia="Times;Times New Roman" w:cs="Arial"/>
      <w:sz w:val="20"/>
      <w:szCs w:val="20"/>
    </w:rPr>
  </w:style>
  <w:style w:type="paragraph" w:styleId="Titre1">
    <w:name w:val="heading 1"/>
    <w:basedOn w:val="Heading"/>
    <w:next w:val="Corpsdetexte"/>
    <w:uiPriority w:val="9"/>
    <w:qFormat/>
    <w:pPr>
      <w:numPr>
        <w:numId w:val="1"/>
      </w:numPr>
      <w:spacing w:before="640" w:after="0" w:line="480" w:lineRule="exact"/>
      <w:ind w:left="0" w:firstLine="0"/>
      <w:outlineLvl w:val="0"/>
    </w:pPr>
    <w:rPr>
      <w:rFonts w:ascii="Arial" w:hAnsi="Arial" w:cs="Arial"/>
      <w:b/>
      <w:bCs/>
      <w:sz w:val="32"/>
      <w:szCs w:val="36"/>
    </w:rPr>
  </w:style>
  <w:style w:type="paragraph" w:styleId="Titre2">
    <w:name w:val="heading 2"/>
    <w:basedOn w:val="Heading"/>
    <w:next w:val="Corpsdetexte"/>
    <w:uiPriority w:val="9"/>
    <w:unhideWhenUsed/>
    <w:qFormat/>
    <w:pPr>
      <w:numPr>
        <w:ilvl w:val="1"/>
        <w:numId w:val="1"/>
      </w:numPr>
      <w:spacing w:before="480" w:after="0"/>
      <w:ind w:left="0" w:firstLine="0"/>
      <w:contextualSpacing/>
      <w:jc w:val="left"/>
      <w:outlineLvl w:val="1"/>
    </w:pPr>
    <w:rPr>
      <w:rFonts w:ascii="Arial" w:hAnsi="Arial" w:cs="Arial"/>
      <w:b/>
      <w:bCs/>
      <w:sz w:val="24"/>
      <w:szCs w:val="32"/>
    </w:rPr>
  </w:style>
  <w:style w:type="paragraph" w:styleId="Titre3">
    <w:name w:val="heading 3"/>
    <w:basedOn w:val="Heading"/>
    <w:next w:val="Corpsdetexte"/>
    <w:uiPriority w:val="9"/>
    <w:unhideWhenUsed/>
    <w:qFormat/>
    <w:pPr>
      <w:numPr>
        <w:ilvl w:val="2"/>
        <w:numId w:val="1"/>
      </w:numPr>
      <w:spacing w:after="0"/>
      <w:ind w:left="0" w:firstLine="0"/>
      <w:outlineLvl w:val="2"/>
    </w:pPr>
    <w:rPr>
      <w:rFonts w:ascii="Arial" w:hAnsi="Arial" w:cs="Arial"/>
      <w:b/>
      <w:bCs/>
      <w:i/>
      <w:sz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Accentuation">
    <w:name w:val="Emphasis"/>
    <w:uiPriority w:val="20"/>
    <w:qFormat/>
    <w:rPr>
      <w:i/>
      <w:iCs/>
    </w:rPr>
  </w:style>
  <w:style w:type="paragraph" w:customStyle="1" w:styleId="Heading">
    <w:name w:val="Heading"/>
    <w:basedOn w:val="Normal"/>
    <w:next w:val="Corpsdetexte"/>
    <w:qFormat/>
    <w:pPr>
      <w:keepNext/>
      <w:spacing w:before="240" w:after="120"/>
    </w:pPr>
    <w:rPr>
      <w:rFonts w:ascii="Liberation Sans;Arial" w:eastAsia="Arial Unicode MS" w:hAnsi="Liberation Sans;Arial" w:cs="Arial Unicode M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Titre">
    <w:name w:val="Title"/>
    <w:basedOn w:val="Heading"/>
    <w:next w:val="Corpsdetexte"/>
    <w:uiPriority w:val="10"/>
    <w:qFormat/>
    <w:pPr>
      <w:spacing w:before="480" w:after="0"/>
      <w:jc w:val="center"/>
    </w:pPr>
    <w:rPr>
      <w:rFonts w:ascii="Arial" w:hAnsi="Arial" w:cs="Arial"/>
      <w:b/>
      <w:bCs/>
      <w:sz w:val="36"/>
      <w:szCs w:val="56"/>
    </w:rPr>
  </w:style>
  <w:style w:type="paragraph" w:customStyle="1" w:styleId="Address">
    <w:name w:val="Address"/>
    <w:basedOn w:val="Normal"/>
    <w:qFormat/>
    <w:pPr>
      <w:spacing w:before="720"/>
      <w:contextualSpacing/>
      <w:jc w:val="center"/>
    </w:pPr>
  </w:style>
  <w:style w:type="paragraph" w:customStyle="1" w:styleId="AbstractTitle">
    <w:name w:val="AbstractTitle"/>
    <w:basedOn w:val="Normal"/>
    <w:qFormat/>
    <w:pPr>
      <w:spacing w:before="480"/>
    </w:pPr>
    <w:rPr>
      <w:b/>
    </w:rPr>
  </w:style>
  <w:style w:type="paragraph" w:customStyle="1" w:styleId="Abstract">
    <w:name w:val="Abstract"/>
    <w:basedOn w:val="Normal"/>
    <w:qFormat/>
  </w:style>
  <w:style w:type="paragraph" w:customStyle="1" w:styleId="FigureCaption">
    <w:name w:val="FigureCaption"/>
    <w:basedOn w:val="Normal"/>
    <w:qFormat/>
    <w:pPr>
      <w:spacing w:before="240" w:after="240"/>
    </w:pPr>
    <w:rPr>
      <w:i/>
      <w:color w:val="000000"/>
    </w:rPr>
  </w:style>
  <w:style w:type="paragraph" w:customStyle="1" w:styleId="Quotations">
    <w:name w:val="Quotations"/>
    <w:basedOn w:val="Normal"/>
    <w:qFormat/>
    <w:pPr>
      <w:ind w:left="283" w:right="113" w:hanging="283"/>
    </w:pPr>
  </w:style>
  <w:style w:type="paragraph" w:customStyle="1" w:styleId="HorizontalLine">
    <w:name w:val="Horizontal Line"/>
    <w:basedOn w:val="Normal"/>
    <w:next w:val="Corpsdetexte"/>
    <w:qFormat/>
    <w:pPr>
      <w:suppressLineNumbers/>
      <w:spacing w:after="283"/>
    </w:pPr>
    <w:rPr>
      <w:sz w:val="12"/>
      <w:szCs w:val="12"/>
    </w:rPr>
  </w:style>
  <w:style w:type="paragraph" w:styleId="Titreindex">
    <w:name w:val="index heading"/>
    <w:basedOn w:val="Heading"/>
  </w:style>
  <w:style w:type="paragraph" w:customStyle="1" w:styleId="UserIndexHeading">
    <w:name w:val="User Index Heading"/>
    <w:basedOn w:val="Heading"/>
    <w:qFormat/>
    <w:pPr>
      <w:suppressLineNumbers/>
    </w:pPr>
    <w:rPr>
      <w:b/>
      <w:bCs/>
      <w:sz w:val="32"/>
      <w:szCs w:val="32"/>
    </w:rPr>
  </w:style>
  <w:style w:type="numbering" w:customStyle="1" w:styleId="WW8Num1">
    <w:name w:val="WW8Num1"/>
    <w:qFormat/>
  </w:style>
  <w:style w:type="paragraph" w:styleId="NormalWeb">
    <w:name w:val="Normal (Web)"/>
    <w:basedOn w:val="Normal"/>
    <w:uiPriority w:val="99"/>
    <w:semiHidden/>
    <w:unhideWhenUsed/>
    <w:rsid w:val="00A45D20"/>
    <w:pPr>
      <w:suppressAutoHyphens w:val="0"/>
      <w:spacing w:before="100" w:beforeAutospacing="1" w:after="100" w:afterAutospacing="1" w:line="240" w:lineRule="auto"/>
      <w:jc w:val="left"/>
    </w:pPr>
    <w:rPr>
      <w:rFonts w:ascii="Times New Roman" w:eastAsia="Times New Roman" w:hAnsi="Times New Roman" w:cs="Times New Roman"/>
      <w:sz w:val="24"/>
      <w:szCs w:val="24"/>
      <w:lang w:val="fr-FR" w:eastAsia="fr-FR" w:bidi="ar-SA"/>
    </w:rPr>
  </w:style>
  <w:style w:type="character" w:styleId="lev">
    <w:name w:val="Strong"/>
    <w:basedOn w:val="Policepardfaut"/>
    <w:uiPriority w:val="22"/>
    <w:qFormat/>
    <w:rsid w:val="00A45D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1649</Words>
  <Characters>9073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Speleogenese express: Crête de Vaas (VS)</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Speleogenese express: Crête de Vaas (VS)</dc:title>
  <dc:subject/>
  <dc:creator>Stéphane Guignard</dc:creator>
  <dc:description/>
  <cp:lastModifiedBy>Stephane Guignard</cp:lastModifiedBy>
  <cp:revision>4</cp:revision>
  <dcterms:created xsi:type="dcterms:W3CDTF">2026-03-12T23:40:00Z</dcterms:created>
  <dcterms:modified xsi:type="dcterms:W3CDTF">2026-03-13T00:26:00Z</dcterms:modified>
  <dc:language>de-CH</dc:language>
</cp:coreProperties>
</file>